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w:t>
      </w:r>
      <w:bookmarkStart w:id="9" w:name="_GoBack"/>
      <w:bookmarkEnd w:id="9"/>
      <w:r>
        <w:rPr>
          <w:rFonts w:hint="eastAsia" w:eastAsia="宋体"/>
          <w:b/>
          <w:sz w:val="24"/>
          <w:szCs w:val="24"/>
          <w:highlight w:val="none"/>
          <w:lang w:val="en-US" w:eastAsia="zh-CN"/>
        </w:rPr>
        <w:t>454</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requirements for 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2D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EA9D26">
            <w:pPr>
              <w:bidi w:val="0"/>
              <w:rPr>
                <w:rFonts w:hint="default" w:ascii="Times New Roman" w:hAnsi="Times New Roman" w:cs="Times New Roman"/>
                <w:b w:val="0"/>
                <w:bCs w:val="0"/>
              </w:rPr>
            </w:pPr>
            <w:r>
              <w:rPr>
                <w:rFonts w:hint="default" w:ascii="Times New Roman" w:hAnsi="Times New Roman" w:cs="Times New Roman"/>
                <w:b w:val="0"/>
                <w:bCs w:val="0"/>
              </w:rPr>
              <w:t>Issue 2-1-1: What kind of core requirements to be defined</w:t>
            </w:r>
          </w:p>
          <w:p w14:paraId="1DE71543">
            <w:pPr>
              <w:spacing w:before="120" w:beforeLines="50" w:after="120" w:afterLines="50"/>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 xml:space="preserve">Further discuss based on the open issues in [1] and the following way forward: </w:t>
            </w:r>
          </w:p>
          <w:p w14:paraId="69AC84B1">
            <w:pPr>
              <w:pStyle w:val="13"/>
              <w:numPr>
                <w:ilvl w:val="1"/>
                <w:numId w:val="6"/>
              </w:numPr>
              <w:spacing w:before="120" w:beforeLines="50" w:after="0"/>
              <w:ind w:firstLineChars="0"/>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Discuss whether the follow requirements need to be defined: </w:t>
            </w:r>
          </w:p>
          <w:p w14:paraId="12A21FAC">
            <w:pPr>
              <w:pStyle w:val="13"/>
              <w:numPr>
                <w:ilvl w:val="2"/>
                <w:numId w:val="6"/>
              </w:numPr>
              <w:spacing w:before="120" w:beforeLines="50" w:after="0"/>
              <w:ind w:firstLineChars="0"/>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Measurement delay/period requirements (OPPO, </w:t>
            </w:r>
            <w:r>
              <w:rPr>
                <w:rFonts w:hint="default" w:ascii="Times New Roman" w:hAnsi="Times New Roman" w:eastAsia="Malgun Gothic" w:cs="Times New Roman"/>
                <w:sz w:val="20"/>
                <w:szCs w:val="20"/>
                <w:highlight w:val="none"/>
                <w:lang w:eastAsia="ko-KR"/>
              </w:rPr>
              <w:t>CMCC, ZTE, Samsung, QC</w:t>
            </w:r>
            <w:r>
              <w:rPr>
                <w:rFonts w:hint="default" w:ascii="Times New Roman" w:hAnsi="Times New Roman" w:cs="Times New Roman" w:eastAsiaTheme="minorEastAsia"/>
                <w:sz w:val="20"/>
                <w:szCs w:val="20"/>
                <w:highlight w:val="none"/>
                <w:lang w:eastAsia="zh-CN"/>
              </w:rPr>
              <w:t>)</w:t>
            </w:r>
          </w:p>
          <w:p w14:paraId="4A9AA6B7">
            <w:pPr>
              <w:pStyle w:val="13"/>
              <w:numPr>
                <w:ilvl w:val="2"/>
                <w:numId w:val="6"/>
              </w:numPr>
              <w:spacing w:before="120" w:beforeLines="50" w:after="0"/>
              <w:ind w:firstLineChars="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Measurement and scheduling restrictions in OW/PW (QC, Samsung)</w:t>
            </w:r>
          </w:p>
          <w:p w14:paraId="10ADF6D8">
            <w:pPr>
              <w:pStyle w:val="13"/>
              <w:numPr>
                <w:ilvl w:val="2"/>
                <w:numId w:val="6"/>
              </w:numPr>
              <w:spacing w:before="120" w:beforeLines="50" w:after="0"/>
              <w:ind w:firstLineChars="0"/>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Prediction delay requirements (OPPO)</w:t>
            </w:r>
          </w:p>
          <w:p w14:paraId="51977CD3">
            <w:pPr>
              <w:pStyle w:val="13"/>
              <w:numPr>
                <w:ilvl w:val="2"/>
                <w:numId w:val="6"/>
              </w:numPr>
              <w:spacing w:before="120" w:beforeLines="50" w:after="0"/>
              <w:ind w:firstLineChars="0"/>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Prediction reporting delay requirements (OPPO, HW, QC)</w:t>
            </w:r>
          </w:p>
          <w:p w14:paraId="23F162FA">
            <w:pPr>
              <w:pStyle w:val="13"/>
              <w:numPr>
                <w:ilvl w:val="2"/>
                <w:numId w:val="6"/>
              </w:numPr>
              <w:spacing w:before="120" w:beforeLines="50" w:after="0"/>
              <w:ind w:firstLineChars="0"/>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OW/PW length (HW, LGE, Samsung)</w:t>
            </w:r>
          </w:p>
          <w:p w14:paraId="7E7018DE">
            <w:pPr>
              <w:pStyle w:val="13"/>
              <w:numPr>
                <w:ilvl w:val="2"/>
                <w:numId w:val="6"/>
              </w:numPr>
              <w:spacing w:before="120" w:beforeLines="50" w:after="0"/>
              <w:ind w:firstLineChars="0"/>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Data collection delay requirements (Ericsson)</w:t>
            </w:r>
          </w:p>
          <w:p w14:paraId="681F0E6F">
            <w:pPr>
              <w:pStyle w:val="13"/>
              <w:numPr>
                <w:ilvl w:val="2"/>
                <w:numId w:val="6"/>
              </w:numPr>
              <w:spacing w:before="120" w:beforeLines="50" w:after="0"/>
              <w:ind w:firstLineChars="0"/>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eastAsiaTheme="minorEastAsia"/>
                <w:sz w:val="20"/>
                <w:szCs w:val="20"/>
                <w:highlight w:val="none"/>
                <w:lang w:eastAsia="zh-CN"/>
              </w:rPr>
              <w:t>SCell related requirements (Samsung, QC)</w:t>
            </w:r>
          </w:p>
          <w:p w14:paraId="5B97F8D4">
            <w:pPr>
              <w:pStyle w:val="13"/>
              <w:numPr>
                <w:ilvl w:val="2"/>
                <w:numId w:val="6"/>
              </w:numPr>
              <w:spacing w:before="120" w:beforeLines="50" w:after="0"/>
              <w:ind w:firstLineChars="0"/>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eastAsiaTheme="minorEastAsia"/>
                <w:sz w:val="20"/>
                <w:szCs w:val="20"/>
                <w:highlight w:val="none"/>
                <w:lang w:eastAsia="zh-CN"/>
              </w:rPr>
              <w:t>UE mandatory capability on the number of cells and frequency layers for actual measurements and inference-based measurements (QC)</w:t>
            </w:r>
          </w:p>
        </w:tc>
      </w:tr>
    </w:tbl>
    <w:p w14:paraId="377C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94715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for RRM measurement prediction, temporal domain prediction case A, temporal domain prediction case B, and frequency domain prediction for co-located cases are the main target. These three use cases are also prioritized during the study phase. </w:t>
      </w:r>
    </w:p>
    <w:p w14:paraId="45B441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3B45E6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656FFB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5554F7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2244BE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Taking FR1 inter-frequency inter-cell prediction as an example, prediction from low-frequency cell to high-frequency cell is expected, which means that not all configured MOs need to be measured. The legacy measurement delay is scaled with the number of MOs, which need to be updated to only consider the actually measured frequency layers. As for the intra-frequency temporal domain prediction, e.g. case B, the legacy measurement delay also need to be updated. In legacy, SMTC or MGRP is in use in the measurement delay requirements, while for temporal domain prediction, UE only measure subset of SMTC/MGRP, and predict the results of other measurement occasions. </w:t>
      </w:r>
    </w:p>
    <w:p w14:paraId="05AA56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RRM measurement prediction, the measurement delay requirements need to be defined/updated</w:t>
      </w:r>
    </w:p>
    <w:p w14:paraId="5618C36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386BADC2">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measured, which means that only the actually measured frequency layers are considered in the measurement delay requirements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351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FF12BFB">
            <w:pPr>
              <w:bidi w:val="0"/>
              <w:rPr>
                <w:rFonts w:hint="default" w:ascii="Times New Roman" w:hAnsi="Times New Roman" w:cs="Times New Roman"/>
              </w:rPr>
            </w:pPr>
            <w:r>
              <w:rPr>
                <w:rFonts w:hint="default" w:ascii="Times New Roman" w:hAnsi="Times New Roman" w:cs="Times New Roman"/>
              </w:rPr>
              <w:t xml:space="preserve">Issue 2-1-5: </w:t>
            </w:r>
            <w:r>
              <w:rPr>
                <w:rFonts w:hint="default" w:ascii="Times New Roman" w:hAnsi="Times New Roman" w:cs="Times New Roman"/>
                <w:lang w:eastAsia="ko-KR"/>
              </w:rPr>
              <w:t>LCM related</w:t>
            </w:r>
            <w:r>
              <w:rPr>
                <w:rFonts w:hint="default" w:ascii="Times New Roman" w:hAnsi="Times New Roman" w:cs="Times New Roman"/>
              </w:rPr>
              <w:t xml:space="preserve"> requirements</w:t>
            </w:r>
          </w:p>
          <w:p w14:paraId="62314321">
            <w:pPr>
              <w:pStyle w:val="13"/>
              <w:numPr>
                <w:ilvl w:val="0"/>
                <w:numId w:val="8"/>
              </w:numPr>
              <w:spacing w:before="120" w:beforeLines="50" w:after="0"/>
              <w:ind w:firstLineChars="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6E92813">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(OPPO): </w:t>
            </w:r>
          </w:p>
          <w:p w14:paraId="3E9D1444">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Do not define deactivation/switching/fallback delay requirements for AI functionality. </w:t>
            </w:r>
          </w:p>
          <w:p w14:paraId="27F0E076">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AI functionality activation delay and performance monitoring, wait for RAN2 progress on LCM framework.</w:t>
            </w:r>
          </w:p>
          <w:p w14:paraId="448DF6E5">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(CATT): </w:t>
            </w:r>
          </w:p>
          <w:p w14:paraId="7BCF077B">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AI/ML functionality activation delay, the following agreement achieved in R19 AI/ML BM applies if RAN2 agree to reuse the signalling framework for applicability report: </w:t>
            </w:r>
          </w:p>
          <w:p w14:paraId="505EEF8C">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UE has to be ready to start measurements for inference after sending RRC reconfiguration complete. </w:t>
            </w:r>
          </w:p>
          <w:p w14:paraId="6EE82D19">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how to define LCM requirements for performance monitoring and fallback procedures after RAN2 have more concrete progress. </w:t>
            </w:r>
          </w:p>
          <w:p w14:paraId="1F459381">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(Tejas Networks): </w:t>
            </w:r>
          </w:p>
          <w:p w14:paraId="374CFAFD">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shall specify the handling of LCM for all agreed scenarios and/or sub-cases.</w:t>
            </w:r>
          </w:p>
          <w:p w14:paraId="186B616D">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Measurement prediction can be based on actual measurement values or predicted measurement values or combination of predicted and measured values.</w:t>
            </w:r>
          </w:p>
          <w:p w14:paraId="2CED97A9">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specify the handling of LCM for cluster-based approaches, where predicted measurements are used as inputs for inference.</w:t>
            </w:r>
          </w:p>
          <w:p w14:paraId="3EC0C794">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 (HW): </w:t>
            </w:r>
          </w:p>
          <w:p w14:paraId="1EB271B4">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RRM measurement prediction, whether and how to define activation delay can wait for more progress in R19 AI/ML air interface beam management. </w:t>
            </w:r>
          </w:p>
          <w:p w14:paraId="5BE280F5">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5 (vivo): </w:t>
            </w:r>
          </w:p>
          <w:p w14:paraId="3FEAECBE">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further discusses whether related LCM requirements are needed, depending on RAN2's design. </w:t>
            </w:r>
          </w:p>
          <w:p w14:paraId="6EA5B807">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RRM measurement prediction, it is within RAN4's scope of discussion to define the relevant metrics for performance monitoring (if any). </w:t>
            </w:r>
          </w:p>
          <w:p w14:paraId="4DA89276">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6 (Ericsson): </w:t>
            </w:r>
          </w:p>
          <w:p w14:paraId="606EF858">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identify performance metric to be reported for performance monitoring at network side. </w:t>
            </w:r>
          </w:p>
          <w:p w14:paraId="06DAFB39">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define delay requirement for performance metric reporting for performance monitoring of UE sided model at the network node. </w:t>
            </w:r>
          </w:p>
          <w:p w14:paraId="6098600F">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7 (Samsung): </w:t>
            </w:r>
          </w:p>
          <w:p w14:paraId="5AE51CEC">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specify requirements for model monitoring including monitoring related conditions (e.g., criterion and the corresponding threshold) definition</w:t>
            </w:r>
          </w:p>
          <w:p w14:paraId="4BE5161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09D6A4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F6C41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Some companies suggest to follow the progress in R19 AI/ML air interface beam management. In Rel-19 beam prediction, it was agreed to deprioritize the discussion on switching and fallback delay requirements and focus on activation/deactivation delay requirement. Furthermore, it was agreed not to define deactivation delay requirements. And no activation requirement in RAN4 spec for beam prediction will be introduced, with the common understanding that UE has to be ready to start measurements for inference after sending RRC reconfiguration complete. No details will be specified in RAN4. </w:t>
      </w:r>
    </w:p>
    <w:p w14:paraId="0CFEE09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We are not sure whether the progress in R19 AI/ML air interface beam management can be reused for AI for mobility. LCM related requirements is pending on RAN2 design, since RAN2 WI work has not started, it is preferred to wait for RAN2 design. </w:t>
      </w:r>
    </w:p>
    <w:p w14:paraId="24767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LCM related requirements is pending on RAN2 design, it is proposed to have further discussion based on RAN2 progress.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1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61ED81">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64E13FFC">
            <w:pPr>
              <w:pStyle w:val="13"/>
              <w:numPr>
                <w:ilvl w:val="0"/>
                <w:numId w:val="8"/>
              </w:numPr>
              <w:spacing w:before="120" w:beforeLines="50" w:after="0"/>
              <w:ind w:firstLineChars="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30608362">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(Xiaomi): </w:t>
            </w:r>
          </w:p>
          <w:p w14:paraId="019D2278">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shall discuss on the definition of prediction accuracy for multi-instance reports for temporal domain Case A. </w:t>
            </w:r>
          </w:p>
          <w:p w14:paraId="043FFD3C">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(HW):</w:t>
            </w:r>
          </w:p>
          <w:p w14:paraId="25E29DA6">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frequency domain prediction, RAN4 to discuss whether only RSRP prediction accuracy under certain channel correlation coefficient is to be specified. </w:t>
            </w:r>
          </w:p>
          <w:p w14:paraId="57E5BD9C">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 (Samsung):</w:t>
            </w:r>
          </w:p>
          <w:p w14:paraId="7069439F">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the accuracy metrics/KPIs for cell prediction requirements, the following two options of the accuracy KPI can be taken as the candidate</w:t>
            </w:r>
          </w:p>
          <w:p w14:paraId="115415B0">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Cell prediction accuracy: Top-1(%), Top-K(%)</w:t>
            </w:r>
          </w:p>
          <w:p w14:paraId="3D5FD2AA">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Maximum RSRP among Top-K predicted cells is larger than the RSRP of the strongest cell – x dB</w:t>
            </w:r>
          </w:p>
          <w:p w14:paraId="17C61A3D">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4 (Apple):</w:t>
            </w:r>
          </w:p>
          <w:p w14:paraId="21C36039">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is invited to adopt a clear time-indexed definition of relative RSRP accuracy for intra-frequency temporal prediction. </w:t>
            </w:r>
          </w:p>
          <w:p w14:paraId="4C7D6471">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At time t, cell 1 predicts its Layer-3 RSRP at t + Δt1, while cell 2 provides a reported (measured or predicted) RSRP at t + Δt2. The metric compares the predicted power gap to the true power gap at those future times and is expressed as ( P_pred1(t + Δt1) - P_rep2(t + Δt2)) -( P_true1(t + Δt1) - P_true2(t + Δt2))</w:t>
            </w:r>
          </w:p>
          <w:p w14:paraId="1C6F43A6">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shall define relative inter-frequency accuracy through two complementary cases to ensure consistent evaluation of cross-frequency prediction.</w:t>
            </w:r>
          </w:p>
          <w:p w14:paraId="7382F365">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A – Time-domain, cross-frequency: Cell 1 on f₁ predicts its L3-RSRP at t + Δt₁ while Cell 2 on f₂ (same FR) provides a reported value at t + Δt₂ (measured or predicted); the KPI compares predicted vs. true inter-cell power gaps to assess future-time signal differences.</w:t>
            </w:r>
          </w:p>
          <w:p w14:paraId="01C05D76">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B – Frequency-domain, cross-cell: Cell 1 on f₁ is predicted across frequency using measurements from other cells, while Cell 2 on f₂ provides a reported value (predicted or measured); the KPI compares predicted vs. true inter-cell power gaps for cross-frequency inference.</w:t>
            </w:r>
          </w:p>
          <w:p w14:paraId="3364F67D">
            <w:pPr>
              <w:pStyle w:val="13"/>
              <w:numPr>
                <w:ilvl w:val="3"/>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Explicitly state the mathematical KPI as (Pred f1 – Pred/Reported f2) – (GT f1 – GT f2) for both cases.</w:t>
            </w:r>
          </w:p>
          <w:p w14:paraId="5ACB394C">
            <w:pPr>
              <w:spacing w:before="120" w:beforeLines="50" w:after="0"/>
              <w:rPr>
                <w:rFonts w:hint="default" w:ascii="Times New Roman" w:hAnsi="Times New Roman" w:cs="Times New Roman"/>
                <w:sz w:val="20"/>
                <w:szCs w:val="20"/>
                <w:lang w:eastAsia="zh-CN"/>
              </w:rPr>
            </w:pPr>
          </w:p>
          <w:p w14:paraId="4D5F8D2F">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2-2-2: Prediction accuracy requirements for measurement prediction</w:t>
            </w:r>
          </w:p>
          <w:p w14:paraId="65B8215C">
            <w:pPr>
              <w:pStyle w:val="13"/>
              <w:numPr>
                <w:ilvl w:val="0"/>
                <w:numId w:val="8"/>
              </w:numPr>
              <w:spacing w:before="120" w:beforeLines="50" w:after="0"/>
              <w:ind w:firstLineChars="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73195155">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(HW):</w:t>
            </w:r>
          </w:p>
          <w:p w14:paraId="0136A1C4">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w:t>
            </w:r>
            <w:bookmarkStart w:id="8" w:name="_Hlk210868370"/>
            <w:r>
              <w:rPr>
                <w:rFonts w:hint="default" w:ascii="Times New Roman" w:hAnsi="Times New Roman" w:eastAsia="Malgun Gothic" w:cs="Times New Roman"/>
                <w:sz w:val="20"/>
                <w:szCs w:val="20"/>
                <w:lang w:eastAsia="ko-KR"/>
              </w:rPr>
              <w:t>whether the prediction accuracy has the same or different accuracy requirements that are defined for the non-AI/ML RRM measurement.</w:t>
            </w:r>
            <w:bookmarkEnd w:id="8"/>
            <w:r>
              <w:rPr>
                <w:rFonts w:hint="default" w:ascii="Times New Roman" w:hAnsi="Times New Roman" w:eastAsia="Malgun Gothic" w:cs="Times New Roman"/>
                <w:sz w:val="20"/>
                <w:szCs w:val="20"/>
                <w:lang w:eastAsia="ko-KR"/>
              </w:rPr>
              <w:t xml:space="preserve"> </w:t>
            </w:r>
          </w:p>
          <w:p w14:paraId="6ED1F4ED">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(Apple):</w:t>
            </w:r>
          </w:p>
          <w:p w14:paraId="3204CA8F">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should base KPIs on standardized parameters (OW, PW, MRRT, UE speed) without considering internal L1/L3 counts.</w:t>
            </w:r>
          </w:p>
          <w:p w14:paraId="4FF09DA2">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 (ZTE, Nokia):</w:t>
            </w:r>
          </w:p>
          <w:p w14:paraId="37FBDF7B">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Regarding temporal domain measurement prediction B, study the impact of measurement skipping pattern on prediction accuracy for the same MRRT.</w:t>
            </w:r>
          </w:p>
          <w:p w14:paraId="70496DE6">
            <w:pPr>
              <w:pStyle w:val="13"/>
              <w:numPr>
                <w:ilvl w:val="1"/>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 (Samsung): </w:t>
            </w:r>
          </w:p>
          <w:p w14:paraId="4C09F34F">
            <w:pPr>
              <w:pStyle w:val="13"/>
              <w:numPr>
                <w:ilvl w:val="2"/>
                <w:numId w:val="6"/>
              </w:numPr>
              <w:spacing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temporal domain case A, OW length and/or PW length should be specified in Rel-20 AI mobility, the necessity of setting threshold (s) for OW length and/or PW length can be discussed.</w:t>
            </w:r>
          </w:p>
          <w:p w14:paraId="2E543A32">
            <w:pPr>
              <w:pStyle w:val="13"/>
              <w:numPr>
                <w:ilvl w:val="2"/>
                <w:numId w:val="6"/>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case B, MRRT can be considered as a side condition when defining prediction accuracy requirement. </w:t>
            </w:r>
          </w:p>
          <w:p w14:paraId="150B69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19D37A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0C5F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 performance metric is related with model output. And the output may be different for different scenario. For time domain prediction,according to Rel-19 study, the model output is L3-RSRP. For frequency domain prediction, the model output at least include L3-RSRP, whether cell ID is needed or not, there is no clear consensus in RAN2. Based on above consideration, at least RSRP prediction accuracy can be considered as performance metric.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Rel-19 study phase, the definition of absolute and relative accuracy of predicted L3-RSRP are discussed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r>
        <w:rPr>
          <w:rFonts w:hint="eastAsia" w:ascii="Times New Roman" w:hAnsi="Times New Roman" w:eastAsia="等线" w:cs="Times New Roman"/>
          <w:bCs/>
          <w:iCs/>
          <w:sz w:val="20"/>
          <w:szCs w:val="20"/>
          <w:lang w:val="en-US" w:eastAsia="zh-CN"/>
        </w:rPr>
        <w:t xml:space="preserve">As for whether to consider other metric, it is pending on whether other model output is introduced. In Rel-19 beam prediction,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 for </w:t>
      </w:r>
      <w:r>
        <w:rPr>
          <w:rFonts w:hint="default" w:ascii="Times New Roman" w:hAnsi="Times New Roman" w:eastAsia="游明朝" w:cs="Times New Roman"/>
          <w:bCs/>
          <w:sz w:val="20"/>
          <w:szCs w:val="20"/>
          <w:lang w:eastAsia="ja-JP"/>
        </w:rPr>
        <w:t>beam ID prediction</w:t>
      </w:r>
      <w:r>
        <w:rPr>
          <w:rFonts w:hint="eastAsia" w:ascii="Times New Roman" w:hAnsi="Times New Roman" w:eastAsia="宋体" w:cs="Times New Roman"/>
          <w:bCs/>
          <w:sz w:val="20"/>
          <w:szCs w:val="20"/>
          <w:lang w:val="en-US" w:eastAsia="zh-CN"/>
        </w:rPr>
        <w:t xml:space="preserve"> </w:t>
      </w:r>
      <w:r>
        <w:rPr>
          <w:rFonts w:hint="eastAsia" w:ascii="Times New Roman" w:hAnsi="Times New Roman" w:eastAsia="宋体" w:cs="Times New Roman"/>
          <w:iCs/>
          <w:sz w:val="20"/>
          <w:szCs w:val="20"/>
          <w:lang w:val="en-US" w:eastAsia="zh-CN"/>
        </w:rPr>
        <w:t xml:space="preserve">for the case </w:t>
      </w:r>
      <w:r>
        <w:rPr>
          <w:rFonts w:hint="default" w:ascii="Times New Roman" w:hAnsi="Times New Roman" w:eastAsia="游明朝" w:cs="Times New Roman"/>
          <w:bCs/>
          <w:sz w:val="20"/>
          <w:szCs w:val="20"/>
          <w:lang w:eastAsia="ja-JP"/>
        </w:rPr>
        <w:t>beam ID is reported</w:t>
      </w:r>
      <w:r>
        <w:rPr>
          <w:rFonts w:hint="eastAsia" w:ascii="Times New Roman" w:hAnsi="Times New Roman" w:eastAsia="宋体" w:cs="Times New Roman"/>
          <w:bCs/>
          <w:sz w:val="20"/>
          <w:szCs w:val="20"/>
          <w:lang w:val="en-US" w:eastAsia="zh-CN"/>
        </w:rPr>
        <w:t xml:space="preserve">. </w:t>
      </w:r>
      <w:r>
        <w:rPr>
          <w:rFonts w:hint="default" w:ascii="Times New Roman" w:hAnsi="Times New Roman" w:eastAsia="游明朝" w:cs="Times New Roman"/>
          <w:iCs/>
          <w:sz w:val="20"/>
          <w:szCs w:val="20"/>
          <w:lang w:eastAsia="ja-JP"/>
        </w:rPr>
        <w:t>The correct prediction is considered as maximum ground-truth RSRP among top-K predicted beams larger than or equal to the ground-truth RSRP of the strongest genie-aided beam(s) – x dB</w:t>
      </w:r>
      <w:r>
        <w:rPr>
          <w:rFonts w:hint="eastAsia" w:ascii="Times New Roman" w:hAnsi="Times New Roman" w:eastAsia="宋体" w:cs="Times New Roman"/>
          <w:iCs/>
          <w:sz w:val="20"/>
          <w:szCs w:val="20"/>
          <w:lang w:val="en-US" w:eastAsia="zh-CN"/>
        </w:rPr>
        <w:t xml:space="preserve">. For AI for mobility, whether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w:t>
      </w:r>
      <w:r>
        <w:rPr>
          <w:rFonts w:hint="eastAsia" w:ascii="Times New Roman" w:hAnsi="Times New Roman" w:cs="Times New Roman"/>
          <w:iCs/>
          <w:sz w:val="20"/>
          <w:szCs w:val="20"/>
          <w:lang w:val="en-US" w:eastAsia="zh-CN"/>
        </w:rPr>
        <w:t xml:space="preserve"> is pending on whether cell ID is the model output and the predicted cell ID is reported. For now, there is no clear consensus in RAN2, prefer to have further discussion.</w:t>
      </w:r>
      <w:r>
        <w:rPr>
          <w:rFonts w:hint="eastAsia" w:ascii="Times New Roman" w:hAnsi="Times New Roman" w:cs="Times New Roman"/>
          <w:sz w:val="20"/>
          <w:szCs w:val="20"/>
          <w:lang w:val="en-US" w:eastAsia="zh-CN"/>
        </w:rPr>
        <w:t>s.</w:t>
      </w:r>
    </w:p>
    <w:p w14:paraId="0465AA5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whether cell ID is agreed as model output.</w:t>
      </w:r>
    </w:p>
    <w:p w14:paraId="0A2C5DCE">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eastAsia" w:ascii="Times New Roman" w:hAnsi="Times New Roman" w:eastAsia="等线" w:cs="Times New Roman"/>
          <w:b/>
          <w:bCs w:val="0"/>
          <w:i/>
          <w:iCs w:val="0"/>
          <w:sz w:val="20"/>
          <w:szCs w:val="20"/>
          <w:lang w:val="en-US" w:eastAsia="zh-CN"/>
        </w:rPr>
        <w:t xml:space="preserve">RSRP prediction accuracy for </w:t>
      </w:r>
      <w:r>
        <w:rPr>
          <w:rFonts w:hint="default" w:ascii="Times New Roman" w:hAnsi="Times New Roman" w:eastAsia="游明朝" w:cs="Times New Roman"/>
          <w:sz w:val="20"/>
          <w:szCs w:val="20"/>
          <w:lang w:eastAsia="zh-CN"/>
        </w:rPr>
        <w:t xml:space="preserve">AI/ML </w:t>
      </w:r>
      <w:r>
        <w:rPr>
          <w:rFonts w:hint="eastAsia" w:ascii="Times New Roman" w:hAnsi="Times New Roman" w:eastAsia="游明朝" w:cs="Times New Roman"/>
          <w:sz w:val="20"/>
          <w:szCs w:val="20"/>
          <w:lang w:val="en-US" w:eastAsia="zh-CN"/>
        </w:rPr>
        <w:t xml:space="preserve">for mobility,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previous meetings,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since the gain come from overhead reduction. From operator point of view, it is not a good way to achieve overhead reduction by sacrificing accuracy. If the predicted results are worse than the legacy measured results, it will have impact on the already deployed network, which is not preferred.</w:t>
      </w:r>
    </w:p>
    <w:p w14:paraId="2D1A0915">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4: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45BA89BB">
      <w:pPr>
        <w:spacing w:after="180" w:line="240" w:lineRule="exact"/>
        <w:rPr>
          <w:rFonts w:hint="default" w:ascii="Times New Roman" w:hAnsi="Times New Roman" w:eastAsia="等线" w:cs="Times New Roman"/>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measurement event prediction</w:t>
      </w:r>
      <w:r>
        <w:rPr>
          <w:rFonts w:hint="eastAsia" w:ascii="Times New Roman" w:hAnsi="Times New Roman" w:eastAsia="宋体"/>
          <w:sz w:val="20"/>
          <w:szCs w:val="20"/>
        </w:rPr>
        <w:t>. The proposals are:</w:t>
      </w:r>
    </w:p>
    <w:p w14:paraId="3E1F9E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RRM measurement prediction, the measurement delay requirements need to be defined/updated</w:t>
      </w:r>
    </w:p>
    <w:p w14:paraId="3004B515">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051E9C98">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measured, which means that only the actually measured frequency layers are considered in the measurement delay requirements</w:t>
      </w:r>
    </w:p>
    <w:p w14:paraId="267CB0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LCM related requirements is pending on RAN2 design, it is proposed to have further discussion based on RAN2 progress.</w:t>
      </w:r>
    </w:p>
    <w:p w14:paraId="27EA6FDC">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whether cell ID is agreed as model output.</w:t>
      </w:r>
    </w:p>
    <w:p w14:paraId="2A722946">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4: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75A9FD1B">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388D2BEB">
      <w:pPr>
        <w:pStyle w:val="14"/>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6">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7">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7"/>
  </w:num>
  <w:num w:numId="3">
    <w:abstractNumId w:val="4"/>
  </w:num>
  <w:num w:numId="4">
    <w:abstractNumId w:val="2"/>
  </w:num>
  <w:num w:numId="5">
    <w:abstractNumId w:val="9"/>
  </w:num>
  <w:num w:numId="6">
    <w:abstractNumId w:val="3"/>
  </w:num>
  <w:num w:numId="7">
    <w:abstractNumId w:val="6"/>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214EA5"/>
    <w:rsid w:val="00510477"/>
    <w:rsid w:val="030F42DA"/>
    <w:rsid w:val="039B37C7"/>
    <w:rsid w:val="03B64756"/>
    <w:rsid w:val="05581271"/>
    <w:rsid w:val="05611098"/>
    <w:rsid w:val="05697CEB"/>
    <w:rsid w:val="0659725C"/>
    <w:rsid w:val="08320503"/>
    <w:rsid w:val="095F3199"/>
    <w:rsid w:val="09956AAF"/>
    <w:rsid w:val="0A632019"/>
    <w:rsid w:val="0A986166"/>
    <w:rsid w:val="0AB2039C"/>
    <w:rsid w:val="0B8B7488"/>
    <w:rsid w:val="0CA26377"/>
    <w:rsid w:val="0DF05B97"/>
    <w:rsid w:val="0E3634E0"/>
    <w:rsid w:val="0F6C5EA4"/>
    <w:rsid w:val="11144517"/>
    <w:rsid w:val="12E4180D"/>
    <w:rsid w:val="135132D0"/>
    <w:rsid w:val="13BE2E36"/>
    <w:rsid w:val="13D33102"/>
    <w:rsid w:val="13E54515"/>
    <w:rsid w:val="154B4C98"/>
    <w:rsid w:val="170D06E0"/>
    <w:rsid w:val="17C90DC6"/>
    <w:rsid w:val="192432CE"/>
    <w:rsid w:val="194849A6"/>
    <w:rsid w:val="197233CD"/>
    <w:rsid w:val="19F52A87"/>
    <w:rsid w:val="1A015FF9"/>
    <w:rsid w:val="1C473DF0"/>
    <w:rsid w:val="1CAA1FD6"/>
    <w:rsid w:val="1E262080"/>
    <w:rsid w:val="1EA13FCF"/>
    <w:rsid w:val="1F4E59E8"/>
    <w:rsid w:val="208B1571"/>
    <w:rsid w:val="20A67B9D"/>
    <w:rsid w:val="219168A1"/>
    <w:rsid w:val="21B75A90"/>
    <w:rsid w:val="21F229A5"/>
    <w:rsid w:val="22F84732"/>
    <w:rsid w:val="29521D5A"/>
    <w:rsid w:val="296A6325"/>
    <w:rsid w:val="2A8275BB"/>
    <w:rsid w:val="2B692490"/>
    <w:rsid w:val="2BAD0C2F"/>
    <w:rsid w:val="2C811A52"/>
    <w:rsid w:val="2D092D6F"/>
    <w:rsid w:val="2DCC054E"/>
    <w:rsid w:val="2EFF4953"/>
    <w:rsid w:val="2FDE3005"/>
    <w:rsid w:val="2FED1FC2"/>
    <w:rsid w:val="302854D5"/>
    <w:rsid w:val="305C73A6"/>
    <w:rsid w:val="30DE49BA"/>
    <w:rsid w:val="319B3E73"/>
    <w:rsid w:val="31B53264"/>
    <w:rsid w:val="332C3305"/>
    <w:rsid w:val="3331778D"/>
    <w:rsid w:val="351D1843"/>
    <w:rsid w:val="36CD03FF"/>
    <w:rsid w:val="370D2F60"/>
    <w:rsid w:val="37E312B6"/>
    <w:rsid w:val="38022573"/>
    <w:rsid w:val="3850290E"/>
    <w:rsid w:val="39A706A6"/>
    <w:rsid w:val="3A2669F5"/>
    <w:rsid w:val="3AF811CC"/>
    <w:rsid w:val="3D837885"/>
    <w:rsid w:val="3FF257A0"/>
    <w:rsid w:val="40BA0E25"/>
    <w:rsid w:val="41597CC1"/>
    <w:rsid w:val="41923435"/>
    <w:rsid w:val="44ED5522"/>
    <w:rsid w:val="45251780"/>
    <w:rsid w:val="45822D02"/>
    <w:rsid w:val="47D07441"/>
    <w:rsid w:val="486C7D0F"/>
    <w:rsid w:val="48765EF0"/>
    <w:rsid w:val="48BC1FC7"/>
    <w:rsid w:val="48BD345D"/>
    <w:rsid w:val="48C92824"/>
    <w:rsid w:val="4A924F66"/>
    <w:rsid w:val="4AAA7A11"/>
    <w:rsid w:val="4ADD1BB7"/>
    <w:rsid w:val="4CA21BEA"/>
    <w:rsid w:val="4CB30463"/>
    <w:rsid w:val="4D0F52FA"/>
    <w:rsid w:val="4EED0FC5"/>
    <w:rsid w:val="4F01352B"/>
    <w:rsid w:val="50AC3D18"/>
    <w:rsid w:val="513A24D1"/>
    <w:rsid w:val="517D38BF"/>
    <w:rsid w:val="521A547C"/>
    <w:rsid w:val="534F15BC"/>
    <w:rsid w:val="539B5A3F"/>
    <w:rsid w:val="54CA0644"/>
    <w:rsid w:val="56582839"/>
    <w:rsid w:val="5798278D"/>
    <w:rsid w:val="59324E3B"/>
    <w:rsid w:val="595545B4"/>
    <w:rsid w:val="59A65848"/>
    <w:rsid w:val="5AAC5686"/>
    <w:rsid w:val="5C491F27"/>
    <w:rsid w:val="5CF63611"/>
    <w:rsid w:val="5E176D14"/>
    <w:rsid w:val="606210AF"/>
    <w:rsid w:val="617674D6"/>
    <w:rsid w:val="61D06D08"/>
    <w:rsid w:val="61DF3A9F"/>
    <w:rsid w:val="62A70187"/>
    <w:rsid w:val="62E74204"/>
    <w:rsid w:val="652470FF"/>
    <w:rsid w:val="676E7F3D"/>
    <w:rsid w:val="67A4673A"/>
    <w:rsid w:val="68706D05"/>
    <w:rsid w:val="6AFE6DF4"/>
    <w:rsid w:val="6B2F50E5"/>
    <w:rsid w:val="6C642F64"/>
    <w:rsid w:val="6D613D4B"/>
    <w:rsid w:val="6D7D0F66"/>
    <w:rsid w:val="6DB122F8"/>
    <w:rsid w:val="6E3837BB"/>
    <w:rsid w:val="6E6D5537"/>
    <w:rsid w:val="6F9F112C"/>
    <w:rsid w:val="6FE61C80"/>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 w:val="7F0677E7"/>
    <w:rsid w:val="7F40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2025-11-07T07:44:22Z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